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18F8" w14:textId="77777777" w:rsidR="00341E0E" w:rsidRDefault="00341E0E" w:rsidP="007C20E5">
      <w:pPr>
        <w:suppressAutoHyphens/>
        <w:autoSpaceDN w:val="0"/>
        <w:spacing w:line="276" w:lineRule="auto"/>
        <w:jc w:val="center"/>
        <w:textAlignment w:val="baseline"/>
        <w:rPr>
          <w:rFonts w:ascii="Gisha" w:hAnsi="Gisha" w:cs="Gisha"/>
          <w:b/>
          <w:sz w:val="20"/>
          <w:szCs w:val="20"/>
          <w:u w:val="single"/>
          <w:lang w:val="es"/>
        </w:rPr>
      </w:pPr>
    </w:p>
    <w:p w14:paraId="3C231730" w14:textId="77777777" w:rsidR="00341E0E" w:rsidRDefault="00341E0E" w:rsidP="007C20E5">
      <w:pPr>
        <w:suppressAutoHyphens/>
        <w:autoSpaceDN w:val="0"/>
        <w:spacing w:line="276" w:lineRule="auto"/>
        <w:jc w:val="center"/>
        <w:textAlignment w:val="baseline"/>
        <w:rPr>
          <w:rFonts w:ascii="Gisha" w:hAnsi="Gisha" w:cs="Gisha"/>
          <w:b/>
          <w:sz w:val="20"/>
          <w:szCs w:val="20"/>
          <w:u w:val="single"/>
          <w:lang w:val="es"/>
        </w:rPr>
      </w:pPr>
    </w:p>
    <w:p w14:paraId="31E5D659" w14:textId="77777777" w:rsidR="00341E0E" w:rsidRDefault="00341E0E" w:rsidP="007C20E5">
      <w:pPr>
        <w:suppressAutoHyphens/>
        <w:autoSpaceDN w:val="0"/>
        <w:spacing w:line="276" w:lineRule="auto"/>
        <w:jc w:val="center"/>
        <w:textAlignment w:val="baseline"/>
        <w:rPr>
          <w:rFonts w:ascii="Gisha" w:hAnsi="Gisha" w:cs="Gisha"/>
          <w:b/>
          <w:sz w:val="20"/>
          <w:szCs w:val="20"/>
          <w:u w:val="single"/>
          <w:lang w:val="es"/>
        </w:rPr>
      </w:pPr>
    </w:p>
    <w:p w14:paraId="00B74329" w14:textId="293D5B57" w:rsidR="007C20E5" w:rsidRPr="002218D7" w:rsidRDefault="007C20E5" w:rsidP="007C20E5">
      <w:pPr>
        <w:suppressAutoHyphens/>
        <w:autoSpaceDN w:val="0"/>
        <w:spacing w:line="276" w:lineRule="auto"/>
        <w:jc w:val="center"/>
        <w:textAlignment w:val="baseline"/>
        <w:rPr>
          <w:rFonts w:ascii="Gisha" w:hAnsi="Gisha" w:cs="Gisha"/>
          <w:sz w:val="20"/>
          <w:szCs w:val="20"/>
          <w:lang w:val="es"/>
        </w:rPr>
      </w:pPr>
      <w:r w:rsidRPr="002218D7">
        <w:rPr>
          <w:rFonts w:ascii="Gisha" w:hAnsi="Gisha" w:cs="Gisha" w:hint="cs"/>
          <w:b/>
          <w:sz w:val="20"/>
          <w:szCs w:val="20"/>
          <w:u w:val="single"/>
          <w:lang w:val="es"/>
        </w:rPr>
        <w:t>TABLA N°2</w:t>
      </w:r>
      <w:r w:rsidRPr="002218D7">
        <w:rPr>
          <w:rFonts w:ascii="Gisha" w:hAnsi="Gisha" w:cs="Gisha" w:hint="cs"/>
          <w:sz w:val="20"/>
          <w:szCs w:val="20"/>
          <w:lang w:val="es"/>
        </w:rPr>
        <w:t xml:space="preserve"> </w:t>
      </w:r>
    </w:p>
    <w:tbl>
      <w:tblPr>
        <w:tblW w:w="9258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3455"/>
        <w:gridCol w:w="3642"/>
        <w:gridCol w:w="1224"/>
      </w:tblGrid>
      <w:tr w:rsidR="007C20E5" w:rsidRPr="002218D7" w14:paraId="5A0C4553" w14:textId="77777777" w:rsidTr="009A4AAF">
        <w:trPr>
          <w:trHeight w:val="496"/>
          <w:tblCellSpacing w:w="20" w:type="dxa"/>
        </w:trPr>
        <w:tc>
          <w:tcPr>
            <w:tcW w:w="877" w:type="dxa"/>
            <w:shd w:val="clear" w:color="000000" w:fill="203764"/>
            <w:vAlign w:val="center"/>
            <w:hideMark/>
          </w:tcPr>
          <w:p w14:paraId="1198397D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/>
                <w:sz w:val="16"/>
                <w:szCs w:val="16"/>
                <w:lang w:eastAsia="es-CL"/>
              </w:rPr>
            </w:pPr>
            <w:bookmarkStart w:id="0" w:name="_Hlk166598185"/>
            <w:r w:rsidRPr="002218D7">
              <w:rPr>
                <w:rFonts w:ascii="Gisha" w:eastAsia="Times New Roman" w:hAnsi="Gisha" w:cs="Gisha" w:hint="cs"/>
                <w:b/>
                <w:bCs/>
                <w:color w:val="FFFFFF"/>
                <w:sz w:val="16"/>
                <w:szCs w:val="16"/>
                <w:lang w:eastAsia="es-CL"/>
              </w:rPr>
              <w:t>N°</w:t>
            </w:r>
          </w:p>
        </w:tc>
        <w:tc>
          <w:tcPr>
            <w:tcW w:w="3415" w:type="dxa"/>
            <w:shd w:val="clear" w:color="000000" w:fill="203764"/>
            <w:vAlign w:val="center"/>
            <w:hideMark/>
          </w:tcPr>
          <w:p w14:paraId="17E22FBA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b/>
                <w:bCs/>
                <w:color w:val="FFFFFF"/>
                <w:sz w:val="16"/>
                <w:szCs w:val="16"/>
                <w:lang w:eastAsia="es-CL"/>
              </w:rPr>
              <w:t>Subespecialidades Prioritarias</w:t>
            </w:r>
          </w:p>
        </w:tc>
        <w:tc>
          <w:tcPr>
            <w:tcW w:w="3602" w:type="dxa"/>
            <w:shd w:val="clear" w:color="000000" w:fill="203764"/>
            <w:vAlign w:val="center"/>
            <w:hideMark/>
          </w:tcPr>
          <w:p w14:paraId="5B4DC434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b/>
                <w:bCs/>
                <w:color w:val="FFFFFF"/>
                <w:sz w:val="16"/>
                <w:szCs w:val="16"/>
                <w:lang w:eastAsia="es-CL"/>
              </w:rPr>
              <w:t>Establecimiento de Devolución P.A.O.</w:t>
            </w:r>
          </w:p>
        </w:tc>
        <w:tc>
          <w:tcPr>
            <w:tcW w:w="1164" w:type="dxa"/>
            <w:shd w:val="clear" w:color="000000" w:fill="203764"/>
            <w:vAlign w:val="center"/>
            <w:hideMark/>
          </w:tcPr>
          <w:p w14:paraId="516CE7FA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b/>
                <w:bCs/>
                <w:color w:val="FFFFFF"/>
                <w:sz w:val="16"/>
                <w:szCs w:val="16"/>
                <w:lang w:eastAsia="es-CL"/>
              </w:rPr>
              <w:t>DEIS</w:t>
            </w:r>
          </w:p>
        </w:tc>
      </w:tr>
      <w:tr w:rsidR="007C20E5" w:rsidRPr="002218D7" w14:paraId="27E7E344" w14:textId="77777777" w:rsidTr="009A4AAF">
        <w:trPr>
          <w:trHeight w:val="179"/>
          <w:tblCellSpacing w:w="20" w:type="dxa"/>
        </w:trPr>
        <w:tc>
          <w:tcPr>
            <w:tcW w:w="877" w:type="dxa"/>
            <w:shd w:val="clear" w:color="auto" w:fill="auto"/>
            <w:vAlign w:val="center"/>
            <w:hideMark/>
          </w:tcPr>
          <w:p w14:paraId="23CC6363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730D8575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Oncología Médica (Hematooncología)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14:paraId="68C5D80E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Dr. Franco Ravera Zunino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14:paraId="08FE8959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115100</w:t>
            </w:r>
          </w:p>
        </w:tc>
      </w:tr>
      <w:tr w:rsidR="007C20E5" w:rsidRPr="002218D7" w14:paraId="5F95C819" w14:textId="77777777" w:rsidTr="009A4AAF">
        <w:trPr>
          <w:trHeight w:val="179"/>
          <w:tblCellSpacing w:w="20" w:type="dxa"/>
        </w:trPr>
        <w:tc>
          <w:tcPr>
            <w:tcW w:w="877" w:type="dxa"/>
            <w:shd w:val="clear" w:color="auto" w:fill="auto"/>
            <w:vAlign w:val="center"/>
            <w:hideMark/>
          </w:tcPr>
          <w:p w14:paraId="06066992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3F0CAC8D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 xml:space="preserve">Neuroradiología 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14:paraId="644484FF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Dr. Franco Ravera Zunino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14:paraId="33AF1A6E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115100</w:t>
            </w:r>
          </w:p>
        </w:tc>
      </w:tr>
      <w:tr w:rsidR="007C20E5" w:rsidRPr="002218D7" w14:paraId="55AF856A" w14:textId="77777777" w:rsidTr="009A4AAF">
        <w:trPr>
          <w:trHeight w:val="166"/>
          <w:tblCellSpacing w:w="20" w:type="dxa"/>
        </w:trPr>
        <w:tc>
          <w:tcPr>
            <w:tcW w:w="877" w:type="dxa"/>
            <w:shd w:val="clear" w:color="auto" w:fill="auto"/>
            <w:vAlign w:val="center"/>
            <w:hideMark/>
          </w:tcPr>
          <w:p w14:paraId="102A54A1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42FD6D65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Infectología Adultos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14:paraId="0F5A8B6B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Dr. Franco Ravera Zunino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14:paraId="1FA3458A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115100</w:t>
            </w:r>
          </w:p>
        </w:tc>
      </w:tr>
      <w:tr w:rsidR="007C20E5" w:rsidRPr="002218D7" w14:paraId="073F38F2" w14:textId="77777777" w:rsidTr="009A4AAF">
        <w:trPr>
          <w:trHeight w:val="306"/>
          <w:tblCellSpacing w:w="20" w:type="dxa"/>
        </w:trPr>
        <w:tc>
          <w:tcPr>
            <w:tcW w:w="877" w:type="dxa"/>
            <w:shd w:val="clear" w:color="auto" w:fill="auto"/>
            <w:vAlign w:val="center"/>
            <w:hideMark/>
          </w:tcPr>
          <w:p w14:paraId="499E1BE2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51A087EA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Cirugía Vascular Periférica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14:paraId="168AFB8B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San Fernando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14:paraId="6CE0CDAC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115107</w:t>
            </w:r>
          </w:p>
        </w:tc>
      </w:tr>
      <w:tr w:rsidR="007C20E5" w:rsidRPr="002218D7" w14:paraId="11FC7CBC" w14:textId="77777777" w:rsidTr="009A4AAF">
        <w:trPr>
          <w:trHeight w:val="306"/>
          <w:tblCellSpacing w:w="20" w:type="dxa"/>
        </w:trPr>
        <w:tc>
          <w:tcPr>
            <w:tcW w:w="877" w:type="dxa"/>
            <w:shd w:val="clear" w:color="auto" w:fill="auto"/>
            <w:vAlign w:val="center"/>
            <w:hideMark/>
          </w:tcPr>
          <w:p w14:paraId="1F786053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681423C5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Gastroenterología Adulto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14:paraId="67AD31AD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de Rengo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14:paraId="7A57B660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115104</w:t>
            </w:r>
          </w:p>
        </w:tc>
      </w:tr>
      <w:tr w:rsidR="007C20E5" w:rsidRPr="002218D7" w14:paraId="61F7D377" w14:textId="77777777" w:rsidTr="009A4AAF">
        <w:trPr>
          <w:trHeight w:val="179"/>
          <w:tblCellSpacing w:w="20" w:type="dxa"/>
        </w:trPr>
        <w:tc>
          <w:tcPr>
            <w:tcW w:w="877" w:type="dxa"/>
            <w:shd w:val="clear" w:color="auto" w:fill="auto"/>
            <w:vAlign w:val="center"/>
            <w:hideMark/>
          </w:tcPr>
          <w:p w14:paraId="1E49F584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165C8BCB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Gastroenterología Adulto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14:paraId="776B9F1E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Hospital de Santa Cruz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14:paraId="76C440D3" w14:textId="77777777" w:rsidR="007C20E5" w:rsidRPr="002218D7" w:rsidRDefault="007C20E5" w:rsidP="009A4AAF">
            <w:pPr>
              <w:spacing w:after="0"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  <w:lang w:eastAsia="es-CL"/>
              </w:rPr>
            </w:pPr>
            <w:r w:rsidRPr="002218D7">
              <w:rPr>
                <w:rFonts w:ascii="Gisha" w:eastAsia="Times New Roman" w:hAnsi="Gisha" w:cs="Gisha" w:hint="cs"/>
                <w:sz w:val="18"/>
                <w:szCs w:val="18"/>
                <w:lang w:eastAsia="es-CL"/>
              </w:rPr>
              <w:t>115110</w:t>
            </w:r>
          </w:p>
        </w:tc>
      </w:tr>
      <w:bookmarkEnd w:id="0"/>
    </w:tbl>
    <w:p w14:paraId="7B785CF6" w14:textId="77777777" w:rsidR="007C20E5" w:rsidRPr="002218D7" w:rsidRDefault="007C20E5" w:rsidP="007C20E5">
      <w:pPr>
        <w:pStyle w:val="Sinespaciado"/>
        <w:jc w:val="both"/>
        <w:rPr>
          <w:rFonts w:ascii="Gisha" w:hAnsi="Gisha" w:cs="Gisha"/>
          <w:sz w:val="6"/>
          <w:szCs w:val="6"/>
        </w:rPr>
      </w:pPr>
    </w:p>
    <w:p w14:paraId="53933650" w14:textId="77777777" w:rsidR="007C20E5" w:rsidRPr="002218D7" w:rsidRDefault="007C20E5" w:rsidP="007C20E5">
      <w:pPr>
        <w:pStyle w:val="Sinespaciado"/>
        <w:jc w:val="both"/>
        <w:rPr>
          <w:rFonts w:ascii="Gisha" w:hAnsi="Gisha" w:cs="Gisha"/>
          <w:sz w:val="16"/>
          <w:szCs w:val="16"/>
        </w:rPr>
      </w:pPr>
      <w:r w:rsidRPr="002218D7">
        <w:rPr>
          <w:rFonts w:ascii="Gisha" w:hAnsi="Gisha" w:cs="Gisha" w:hint="cs"/>
          <w:sz w:val="16"/>
          <w:szCs w:val="16"/>
        </w:rPr>
        <w:t>Tabla N°2: Primera Priorización de Subespecialidades Médicas.</w:t>
      </w:r>
    </w:p>
    <w:p w14:paraId="51977919" w14:textId="77777777" w:rsidR="007C20E5" w:rsidRPr="002218D7" w:rsidRDefault="007C20E5" w:rsidP="007C20E5">
      <w:pPr>
        <w:pStyle w:val="Sinespaciado"/>
        <w:jc w:val="both"/>
        <w:rPr>
          <w:rFonts w:ascii="Gisha" w:hAnsi="Gisha" w:cs="Gisha"/>
          <w:sz w:val="20"/>
          <w:szCs w:val="20"/>
        </w:rPr>
      </w:pPr>
    </w:p>
    <w:p w14:paraId="292D8093" w14:textId="77777777" w:rsidR="00D23887" w:rsidRDefault="00D23887"/>
    <w:sectPr w:rsidR="00D23887" w:rsidSect="00341E0E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E5"/>
    <w:rsid w:val="000F4245"/>
    <w:rsid w:val="0025265D"/>
    <w:rsid w:val="00341E0E"/>
    <w:rsid w:val="007C20E5"/>
    <w:rsid w:val="00D23887"/>
    <w:rsid w:val="00F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E224"/>
  <w15:chartTrackingRefBased/>
  <w15:docId w15:val="{406A122D-6DB8-428D-87FC-1145CFA8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E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20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2024-05-15T16:27:00Z</dcterms:created>
  <dcterms:modified xsi:type="dcterms:W3CDTF">2024-05-15T16:27:00Z</dcterms:modified>
</cp:coreProperties>
</file>